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106                               R4-2301236</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ascii="Arial" w:hAnsi="Arial" w:eastAsia="宋体" w:cs="Arial"/>
          <w:b/>
          <w:sz w:val="24"/>
          <w:szCs w:val="24"/>
          <w:lang w:eastAsia="zh-CN"/>
        </w:rPr>
        <w:t>Athens, Greece, February 27 – March 3, 202</w:t>
      </w:r>
      <w:r>
        <w:rPr>
          <w:rFonts w:hint="eastAsia" w:ascii="Arial" w:hAnsi="Arial" w:cs="Arial"/>
          <w:b/>
          <w:sz w:val="24"/>
          <w:szCs w:val="24"/>
          <w:lang w:val="en-US" w:eastAsia="zh-CN"/>
        </w:rPr>
        <w:t>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b/>
        </w:rPr>
      </w:pPr>
      <w:r>
        <w:rPr>
          <w:rFonts w:ascii="Arial" w:hAnsi="Arial"/>
          <w:b/>
          <w:sz w:val="24"/>
          <w:lang w:val="pt-BR"/>
        </w:rPr>
        <w:t xml:space="preserve">Title: </w:t>
      </w:r>
      <w:r>
        <w:rPr>
          <w:rFonts w:ascii="Arial" w:hAnsi="Arial"/>
          <w:b/>
          <w:sz w:val="24"/>
          <w:lang w:val="pt-BR"/>
        </w:rPr>
        <w:tab/>
      </w:r>
      <w:bookmarkStart w:id="3" w:name="OLE_LINK44"/>
      <w:r>
        <w:rPr>
          <w:rFonts w:hint="eastAsia" w:ascii="Arial" w:hAnsi="Arial"/>
          <w:b/>
          <w:sz w:val="24"/>
          <w:lang w:val="en-US" w:eastAsia="zh-CN"/>
        </w:rPr>
        <w:t>D</w:t>
      </w:r>
      <w:r>
        <w:rPr>
          <w:rStyle w:val="59"/>
          <w:rFonts w:hint="eastAsia"/>
          <w:b/>
          <w:lang w:val="pt-BR"/>
        </w:rPr>
        <w:t>iscussion on</w:t>
      </w:r>
      <w:bookmarkStart w:id="4" w:name="OLE_LINK7"/>
      <w:r>
        <w:rPr>
          <w:rStyle w:val="59"/>
          <w:rFonts w:hint="eastAsia"/>
          <w:b/>
          <w:lang w:val="en-US" w:eastAsia="zh-CN"/>
        </w:rPr>
        <w:t xml:space="preserve"> UE RF of </w:t>
      </w:r>
      <w:r>
        <w:rPr>
          <w:rStyle w:val="59"/>
          <w:rFonts w:hint="eastAsia"/>
          <w:b/>
        </w:rPr>
        <w:t>non-collocated</w:t>
      </w:r>
      <w:r>
        <w:rPr>
          <w:rStyle w:val="59"/>
          <w:rFonts w:hint="eastAsia"/>
          <w:b/>
          <w:lang w:val="en-US" w:eastAsia="zh-CN"/>
        </w:rPr>
        <w:t xml:space="preserve"> </w:t>
      </w:r>
      <w:r>
        <w:rPr>
          <w:rStyle w:val="59"/>
          <w:rFonts w:hint="eastAsia"/>
          <w:b/>
        </w:rPr>
        <w:t>EN-DC</w:t>
      </w:r>
      <w:bookmarkEnd w:id="4"/>
      <w:r>
        <w:rPr>
          <w:rStyle w:val="59"/>
          <w:rFonts w:hint="eastAsia"/>
          <w:b/>
        </w:rPr>
        <w:t xml:space="preserve"> and NR-CA</w:t>
      </w:r>
      <w:bookmarkEnd w:id="3"/>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b/>
        </w:rPr>
      </w:pPr>
      <w:r>
        <w:rPr>
          <w:rStyle w:val="59"/>
          <w:rFonts w:hint="eastAsia"/>
          <w:b/>
          <w:lang w:val="pt-BR"/>
        </w:rPr>
        <w:t>Agenda item:</w:t>
      </w:r>
      <w:r>
        <w:rPr>
          <w:rStyle w:val="59"/>
          <w:rFonts w:hint="eastAsia"/>
          <w:b/>
          <w:lang w:val="pt-BR"/>
        </w:rPr>
        <w:tab/>
      </w:r>
      <w:r>
        <w:rPr>
          <w:rStyle w:val="59"/>
          <w:rFonts w:hint="eastAsia"/>
          <w:b/>
          <w:color w:val="auto"/>
          <w:lang w:val="en-US" w:eastAsia="zh-CN"/>
        </w:rPr>
        <w:t>9</w:t>
      </w:r>
      <w:r>
        <w:rPr>
          <w:rStyle w:val="59"/>
          <w:rFonts w:hint="eastAsia"/>
          <w:b/>
          <w:color w:val="auto"/>
        </w:rPr>
        <w:t>.11.2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5" w:name="OLE_LINK25"/>
    </w:p>
    <w:p>
      <w:pPr>
        <w:widowControl w:val="0"/>
        <w:spacing w:before="120" w:beforeLines="0" w:after="120" w:afterLines="0" w:line="240" w:lineRule="auto"/>
        <w:jc w:val="left"/>
        <w:rPr>
          <w:kern w:val="0"/>
          <w:sz w:val="20"/>
        </w:rPr>
      </w:pPr>
      <w:r>
        <w:rPr>
          <w:rFonts w:hint="eastAsia"/>
          <w:kern w:val="0"/>
          <w:sz w:val="20"/>
        </w:rPr>
        <w:t>In last meeting, some issues related to the non-collocated ENDC and NR CA were extensively discussed. The discussion mainly focus on the new type UE, i.e. type 3a UE and type 3b UE .</w:t>
      </w:r>
    </w:p>
    <w:p>
      <w:pPr>
        <w:widowControl w:val="0"/>
        <w:spacing w:before="120" w:beforeLines="0" w:after="120" w:afterLines="0" w:line="240" w:lineRule="auto"/>
        <w:jc w:val="left"/>
        <w:rPr>
          <w:kern w:val="0"/>
          <w:sz w:val="20"/>
        </w:rPr>
      </w:pPr>
      <w:r>
        <w:rPr>
          <w:rFonts w:hint="eastAsia"/>
          <w:kern w:val="0"/>
          <w:sz w:val="20"/>
        </w:rPr>
        <w:t>Agreements about type 3a UE and 3b UE were captured in the approved WF [1], and some of them are captured below for convenience:</w:t>
      </w:r>
    </w:p>
    <w:p>
      <w:pPr>
        <w:spacing w:before="120" w:beforeLines="0" w:after="120" w:afterLines="0" w:line="240" w:lineRule="auto"/>
        <w:rPr>
          <w:rFonts w:eastAsia="游明朝"/>
          <w:lang w:eastAsia="ja-JP"/>
        </w:rPr>
      </w:pPr>
      <w:r>
        <w:rPr>
          <w:rFonts w:hint="eastAsia" w:eastAsia="游明朝"/>
          <w:lang w:eastAsia="ja-JP"/>
        </w:rPr>
        <w:t>&lt;</w:t>
      </w:r>
      <w:r>
        <w:rPr>
          <w:rFonts w:eastAsia="游明朝"/>
          <w:lang w:eastAsia="ja-JP"/>
        </w:rPr>
        <w:t>Issue 3-1-4: Possible UE RF architecture on Type 3a/3b and 4a/4b&gt;</w:t>
      </w:r>
    </w:p>
    <w:p>
      <w:pPr>
        <w:spacing w:before="120" w:beforeLines="0" w:after="120" w:afterLines="0" w:line="240" w:lineRule="auto"/>
        <w:outlineLvl w:val="1"/>
        <w:rPr>
          <w:b/>
        </w:rPr>
      </w:pPr>
      <w:r>
        <w:rPr>
          <w:b/>
        </w:rPr>
        <w:t xml:space="preserve">Agreement: </w:t>
      </w:r>
    </w:p>
    <w:p>
      <w:pPr>
        <w:pStyle w:val="32"/>
        <w:numPr>
          <w:ilvl w:val="0"/>
          <w:numId w:val="7"/>
        </w:numPr>
        <w:overflowPunct w:val="0"/>
        <w:autoSpaceDE w:val="0"/>
        <w:autoSpaceDN w:val="0"/>
        <w:adjustRightInd/>
        <w:spacing w:before="120" w:after="120" w:afterLines="0"/>
        <w:textAlignment w:val="baseline"/>
      </w:pPr>
      <w:r>
        <w:rPr>
          <w:rFonts w:hint="eastAsia" w:eastAsia="游明朝"/>
          <w:lang w:eastAsia="ja-JP"/>
        </w:rPr>
        <w:t>T</w:t>
      </w:r>
      <w:r>
        <w:rPr>
          <w:rFonts w:eastAsia="游明朝"/>
          <w:lang w:eastAsia="ja-JP"/>
        </w:rPr>
        <w:t>ype 2 UE is the reference.</w:t>
      </w:r>
    </w:p>
    <w:p>
      <w:pPr>
        <w:spacing w:before="120" w:beforeLines="0" w:after="120" w:afterLines="0" w:line="240" w:lineRule="auto"/>
        <w:outlineLvl w:val="1"/>
        <w:rPr>
          <w:b/>
        </w:rPr>
      </w:pPr>
      <w:r>
        <w:rPr>
          <w:b/>
        </w:rPr>
        <w:t xml:space="preserve">Way Forward: </w:t>
      </w:r>
    </w:p>
    <w:p>
      <w:pPr>
        <w:numPr>
          <w:ilvl w:val="0"/>
          <w:numId w:val="7"/>
        </w:numPr>
        <w:spacing w:before="120" w:beforeLines="0" w:after="120" w:afterLines="0" w:line="240" w:lineRule="auto"/>
        <w:rPr>
          <w:rFonts w:eastAsia="游明朝"/>
          <w:lang w:eastAsia="ja-JP"/>
        </w:rPr>
      </w:pPr>
      <w:r>
        <w:t>Continue further discussions on Type 3a/3b and 4a/4b based on the following table, and also conclude them in the next meeting.</w:t>
      </w:r>
    </w:p>
    <w:tbl>
      <w:tblPr>
        <w:tblStyle w:val="22"/>
        <w:tblW w:w="9493" w:type="dxa"/>
        <w:jc w:val="center"/>
        <w:tblLayout w:type="autofit"/>
        <w:tblCellMar>
          <w:top w:w="0" w:type="dxa"/>
          <w:left w:w="108" w:type="dxa"/>
          <w:bottom w:w="0" w:type="dxa"/>
          <w:right w:w="108" w:type="dxa"/>
        </w:tblCellMar>
      </w:tblPr>
      <w:tblGrid>
        <w:gridCol w:w="551"/>
        <w:gridCol w:w="528"/>
        <w:gridCol w:w="298"/>
        <w:gridCol w:w="521"/>
        <w:gridCol w:w="659"/>
        <w:gridCol w:w="753"/>
        <w:gridCol w:w="492"/>
        <w:gridCol w:w="723"/>
        <w:gridCol w:w="1080"/>
        <w:gridCol w:w="4008"/>
      </w:tblGrid>
      <w:tr>
        <w:tblPrEx>
          <w:tblCellMar>
            <w:top w:w="0" w:type="dxa"/>
            <w:left w:w="108" w:type="dxa"/>
            <w:bottom w:w="0" w:type="dxa"/>
            <w:right w:w="108" w:type="dxa"/>
          </w:tblCellMar>
        </w:tblPrEx>
        <w:trPr>
          <w:trHeight w:val="70" w:hRule="atLeast"/>
          <w:jc w:val="center"/>
        </w:trPr>
        <w:tc>
          <w:tcPr>
            <w:tcW w:w="538" w:type="dxa"/>
            <w:tcBorders>
              <w:top w:val="single" w:color="auto" w:sz="4" w:space="0"/>
              <w:left w:val="single" w:color="auto" w:sz="4" w:space="0"/>
              <w:bottom w:val="single" w:color="auto" w:sz="4" w:space="0"/>
              <w:right w:val="single" w:color="auto" w:sz="4" w:space="0"/>
            </w:tcBorders>
            <w:shd w:val="clear" w:color="auto" w:fill="DEEAF6"/>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UE</w:t>
            </w:r>
          </w:p>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Type</w:t>
            </w:r>
          </w:p>
        </w:tc>
        <w:tc>
          <w:tcPr>
            <w:tcW w:w="466" w:type="dxa"/>
            <w:tcBorders>
              <w:top w:val="single" w:color="auto" w:sz="4" w:space="0"/>
              <w:left w:val="nil"/>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b/>
                <w:color w:val="000000"/>
                <w:sz w:val="16"/>
                <w:szCs w:val="16"/>
              </w:rPr>
            </w:pPr>
          </w:p>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CC#</w:t>
            </w:r>
          </w:p>
        </w:tc>
        <w:tc>
          <w:tcPr>
            <w:tcW w:w="819" w:type="dxa"/>
            <w:gridSpan w:val="2"/>
            <w:tcBorders>
              <w:top w:val="single" w:color="auto" w:sz="4" w:space="0"/>
              <w:left w:val="nil"/>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antenna</w:t>
            </w:r>
            <w:r>
              <w:rPr>
                <w:rFonts w:ascii="Times New Roman" w:hAnsi="Times New Roman" w:cs="Times New Roman"/>
                <w:b/>
                <w:color w:val="000000"/>
                <w:sz w:val="16"/>
                <w:szCs w:val="16"/>
              </w:rPr>
              <w:br w:type="textWrapping"/>
            </w:r>
            <w:r>
              <w:rPr>
                <w:rFonts w:ascii="Times New Roman" w:hAnsi="Times New Roman" w:cs="Times New Roman"/>
                <w:b/>
                <w:color w:val="000000"/>
                <w:sz w:val="16"/>
                <w:szCs w:val="16"/>
              </w:rPr>
              <w:t>/ LNA</w:t>
            </w:r>
          </w:p>
        </w:tc>
        <w:tc>
          <w:tcPr>
            <w:tcW w:w="659" w:type="dxa"/>
            <w:tcBorders>
              <w:top w:val="single" w:color="auto" w:sz="4" w:space="0"/>
              <w:left w:val="nil"/>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Mixer</w:t>
            </w:r>
          </w:p>
        </w:tc>
        <w:tc>
          <w:tcPr>
            <w:tcW w:w="753" w:type="dxa"/>
            <w:tcBorders>
              <w:top w:val="single" w:color="auto" w:sz="4" w:space="0"/>
              <w:left w:val="nil"/>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Analog</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BB</w:t>
            </w:r>
          </w:p>
        </w:tc>
        <w:tc>
          <w:tcPr>
            <w:tcW w:w="460" w:type="dxa"/>
            <w:tcBorders>
              <w:top w:val="single" w:color="auto" w:sz="4" w:space="0"/>
              <w:left w:val="nil"/>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#Rx</w:t>
            </w:r>
          </w:p>
        </w:tc>
        <w:tc>
          <w:tcPr>
            <w:tcW w:w="710" w:type="dxa"/>
            <w:tcBorders>
              <w:top w:val="single" w:color="auto" w:sz="4" w:space="0"/>
              <w:left w:val="single" w:color="auto" w:sz="4" w:space="0"/>
              <w:bottom w:val="single" w:color="auto" w:sz="4" w:space="0"/>
              <w:right w:val="single" w:color="auto" w:sz="4" w:space="0"/>
            </w:tcBorders>
            <w:shd w:val="clear" w:color="auto" w:fill="DEEAF6"/>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eastAsia="游明朝" w:cs="Times New Roman"/>
                <w:b/>
                <w:color w:val="000000"/>
                <w:sz w:val="16"/>
                <w:szCs w:val="16"/>
                <w:lang w:eastAsia="ja-JP"/>
              </w:rPr>
            </w:pPr>
            <w:r>
              <w:rPr>
                <w:rFonts w:ascii="Times New Roman" w:hAnsi="Times New Roman" w:eastAsia="游明朝" w:cs="Times New Roman"/>
                <w:b/>
                <w:color w:val="000000"/>
                <w:sz w:val="16"/>
                <w:szCs w:val="16"/>
                <w:lang w:eastAsia="ja-JP"/>
              </w:rPr>
              <w:t>NRCA/</w:t>
            </w:r>
          </w:p>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eastAsia="游明朝" w:cs="Times New Roman"/>
                <w:b/>
                <w:color w:val="000000"/>
                <w:sz w:val="16"/>
                <w:szCs w:val="16"/>
                <w:lang w:eastAsia="ja-JP"/>
              </w:rPr>
            </w:pPr>
            <w:r>
              <w:rPr>
                <w:rFonts w:ascii="Times New Roman" w:hAnsi="Times New Roman" w:eastAsia="游明朝" w:cs="Times New Roman"/>
                <w:b/>
                <w:color w:val="000000"/>
                <w:sz w:val="16"/>
                <w:szCs w:val="16"/>
                <w:lang w:eastAsia="ja-JP"/>
              </w:rPr>
              <w:t>ENDC</w:t>
            </w:r>
          </w:p>
        </w:tc>
        <w:tc>
          <w:tcPr>
            <w:tcW w:w="1080" w:type="dxa"/>
            <w:tcBorders>
              <w:top w:val="single" w:color="auto" w:sz="4" w:space="0"/>
              <w:left w:val="single" w:color="auto" w:sz="4" w:space="0"/>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eastAsia="游明朝" w:cs="Times New Roman"/>
                <w:b/>
                <w:color w:val="000000"/>
                <w:sz w:val="16"/>
                <w:szCs w:val="16"/>
                <w:lang w:eastAsia="ja-JP"/>
              </w:rPr>
            </w:pPr>
            <w:r>
              <w:rPr>
                <w:rFonts w:ascii="Times New Roman" w:hAnsi="Times New Roman" w:eastAsia="游明朝" w:cs="Times New Roman"/>
                <w:b/>
                <w:color w:val="000000"/>
                <w:sz w:val="16"/>
                <w:szCs w:val="16"/>
                <w:lang w:eastAsia="ja-JP"/>
              </w:rPr>
              <w:t>power</w:t>
            </w:r>
          </w:p>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imbalance</w:t>
            </w:r>
          </w:p>
        </w:tc>
        <w:tc>
          <w:tcPr>
            <w:tcW w:w="4008" w:type="dxa"/>
            <w:tcBorders>
              <w:top w:val="single" w:color="auto" w:sz="4" w:space="0"/>
              <w:left w:val="nil"/>
              <w:bottom w:val="single" w:color="auto" w:sz="4" w:space="0"/>
              <w:right w:val="single" w:color="auto" w:sz="4" w:space="0"/>
            </w:tcBorders>
            <w:shd w:val="clear" w:color="auto" w:fill="DEEAF6"/>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b/>
                <w:color w:val="000000"/>
                <w:sz w:val="16"/>
                <w:szCs w:val="16"/>
              </w:rPr>
            </w:pPr>
            <w:r>
              <w:rPr>
                <w:rFonts w:ascii="Times New Roman" w:hAnsi="Times New Roman" w:cs="Times New Roman"/>
                <w:b/>
                <w:color w:val="000000"/>
                <w:sz w:val="16"/>
                <w:szCs w:val="16"/>
              </w:rPr>
              <w:t>comment</w:t>
            </w:r>
          </w:p>
        </w:tc>
      </w:tr>
      <w:tr>
        <w:tblPrEx>
          <w:tblCellMar>
            <w:top w:w="0" w:type="dxa"/>
            <w:left w:w="108" w:type="dxa"/>
            <w:bottom w:w="0" w:type="dxa"/>
            <w:right w:w="108" w:type="dxa"/>
          </w:tblCellMar>
        </w:tblPrEx>
        <w:trPr>
          <w:trHeight w:val="70" w:hRule="atLeast"/>
          <w:jc w:val="center"/>
        </w:trPr>
        <w:tc>
          <w:tcPr>
            <w:tcW w:w="538"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298"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521" w:type="dxa"/>
            <w:vMerge w:val="restart"/>
            <w:tcBorders>
              <w:top w:val="nil"/>
              <w:left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4</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total</w:t>
            </w: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2Rx</w:t>
            </w:r>
          </w:p>
        </w:tc>
        <w:tc>
          <w:tcPr>
            <w:tcW w:w="710"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NRCA</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25dB</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full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Reuse of baseline architecture restricted to 2Rx/band but need 2LO frequencies</w:t>
            </w:r>
          </w:p>
        </w:tc>
      </w:tr>
      <w:tr>
        <w:tblPrEx>
          <w:tblCellMar>
            <w:top w:w="0" w:type="dxa"/>
            <w:left w:w="108" w:type="dxa"/>
            <w:bottom w:w="0" w:type="dxa"/>
            <w:right w:w="108" w:type="dxa"/>
          </w:tblCellMar>
        </w:tblPrEx>
        <w:trPr>
          <w:trHeight w:val="70" w:hRule="atLeast"/>
          <w:jc w:val="center"/>
        </w:trPr>
        <w:tc>
          <w:tcPr>
            <w:tcW w:w="538" w:type="dxa"/>
            <w:vMerge w:val="continue"/>
            <w:tcBorders>
              <w:left w:val="single" w:color="auto" w:sz="4" w:space="0"/>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98"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521" w:type="dxa"/>
            <w:vMerge w:val="continue"/>
            <w:tcBorders>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2Rx</w:t>
            </w:r>
          </w:p>
        </w:tc>
        <w:tc>
          <w:tcPr>
            <w:tcW w:w="710" w:type="dxa"/>
            <w:vMerge w:val="continue"/>
            <w:tcBorders>
              <w:left w:val="single" w:color="auto" w:sz="4" w:space="0"/>
              <w:bottom w:val="single" w:color="auto" w:sz="4" w:space="0"/>
              <w:right w:val="single" w:color="auto" w:sz="4" w:space="0"/>
            </w:tcBorders>
            <w:shd w:val="clear" w:color="auto" w:fill="BFBFBF"/>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p>
        </w:tc>
        <w:tc>
          <w:tcPr>
            <w:tcW w:w="1080"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008"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r>
      <w:tr>
        <w:tblPrEx>
          <w:tblCellMar>
            <w:top w:w="0" w:type="dxa"/>
            <w:left w:w="108" w:type="dxa"/>
            <w:bottom w:w="0" w:type="dxa"/>
            <w:right w:w="108" w:type="dxa"/>
          </w:tblCellMar>
        </w:tblPrEx>
        <w:trPr>
          <w:trHeight w:val="70" w:hRule="atLeast"/>
          <w:jc w:val="center"/>
        </w:trPr>
        <w:tc>
          <w:tcPr>
            <w:tcW w:w="538"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[3a]</w:t>
            </w: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9" w:type="dxa"/>
            <w:gridSpan w:val="2"/>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shared</w:t>
            </w: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4Rx</w:t>
            </w:r>
          </w:p>
        </w:tc>
        <w:tc>
          <w:tcPr>
            <w:tcW w:w="710"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6&lt;P≤25dB</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partial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Reuse of baseline RFFE architecture adding 2LO/BB/Rx and RF split after 2 LNAs out of 4 =&gt; common AGC on LNA =&gt; 25dB partial range</w:t>
            </w:r>
          </w:p>
        </w:tc>
      </w:tr>
      <w:tr>
        <w:tblPrEx>
          <w:tblCellMar>
            <w:top w:w="0" w:type="dxa"/>
            <w:left w:w="108" w:type="dxa"/>
            <w:bottom w:w="0" w:type="dxa"/>
            <w:right w:w="108" w:type="dxa"/>
          </w:tblCellMar>
        </w:tblPrEx>
        <w:trPr>
          <w:trHeight w:val="70" w:hRule="atLeast"/>
          <w:jc w:val="center"/>
        </w:trPr>
        <w:tc>
          <w:tcPr>
            <w:tcW w:w="538" w:type="dxa"/>
            <w:vMerge w:val="continue"/>
            <w:tcBorders>
              <w:left w:val="single" w:color="auto" w:sz="4" w:space="0"/>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819" w:type="dxa"/>
            <w:gridSpan w:val="2"/>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2Rx</w:t>
            </w:r>
          </w:p>
        </w:tc>
        <w:tc>
          <w:tcPr>
            <w:tcW w:w="710" w:type="dxa"/>
            <w:vMerge w:val="continue"/>
            <w:tcBorders>
              <w:left w:val="single" w:color="auto" w:sz="4" w:space="0"/>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eastAsia="游明朝" w:cs="Times New Roman"/>
                <w:color w:val="000000"/>
                <w:sz w:val="16"/>
                <w:szCs w:val="16"/>
                <w:lang w:eastAsia="ja-JP"/>
              </w:rPr>
            </w:pPr>
          </w:p>
        </w:tc>
        <w:tc>
          <w:tcPr>
            <w:tcW w:w="1080"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008" w:type="dxa"/>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r>
      <w:tr>
        <w:tblPrEx>
          <w:tblCellMar>
            <w:top w:w="0" w:type="dxa"/>
            <w:left w:w="108" w:type="dxa"/>
            <w:bottom w:w="0" w:type="dxa"/>
            <w:right w:w="108" w:type="dxa"/>
          </w:tblCellMar>
        </w:tblPrEx>
        <w:trPr>
          <w:trHeight w:val="70" w:hRule="atLeast"/>
          <w:jc w:val="center"/>
        </w:trPr>
        <w:tc>
          <w:tcPr>
            <w:tcW w:w="538"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[3b]</w:t>
            </w: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819" w:type="dxa"/>
            <w:gridSpan w:val="2"/>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shared</w:t>
            </w: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4Rx</w:t>
            </w:r>
          </w:p>
        </w:tc>
        <w:tc>
          <w:tcPr>
            <w:tcW w:w="710"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NRCA</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eastAsia="游明朝" w:cs="Times New Roman"/>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6&lt;P≤25dB</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partial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Reuse of baseline RFFE architecture adding 2LO/BB/Rx and RF split after all 4 LNAs =&gt; common AGC on LNA =&gt; 25dB partial range</w:t>
            </w:r>
          </w:p>
        </w:tc>
      </w:tr>
      <w:tr>
        <w:tblPrEx>
          <w:tblCellMar>
            <w:top w:w="0" w:type="dxa"/>
            <w:left w:w="108" w:type="dxa"/>
            <w:bottom w:w="0" w:type="dxa"/>
            <w:right w:w="108" w:type="dxa"/>
          </w:tblCellMar>
        </w:tblPrEx>
        <w:trPr>
          <w:trHeight w:val="70" w:hRule="atLeast"/>
          <w:jc w:val="center"/>
        </w:trPr>
        <w:tc>
          <w:tcPr>
            <w:tcW w:w="538" w:type="dxa"/>
            <w:vMerge w:val="continue"/>
            <w:tcBorders>
              <w:left w:val="single" w:color="auto" w:sz="4" w:space="0"/>
              <w:bottom w:val="single" w:color="auto" w:sz="4" w:space="0"/>
              <w:right w:val="single" w:color="auto" w:sz="4" w:space="0"/>
            </w:tcBorders>
            <w:shd w:val="clear" w:color="auto" w:fill="FFFF00"/>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819" w:type="dxa"/>
            <w:gridSpan w:val="2"/>
            <w:vMerge w:val="continue"/>
            <w:tcBorders>
              <w:top w:val="nil"/>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4Rx</w:t>
            </w:r>
          </w:p>
        </w:tc>
        <w:tc>
          <w:tcPr>
            <w:tcW w:w="710" w:type="dxa"/>
            <w:vMerge w:val="continue"/>
            <w:tcBorders>
              <w:left w:val="single" w:color="auto" w:sz="4" w:space="0"/>
              <w:bottom w:val="single" w:color="auto" w:sz="4" w:space="0"/>
              <w:right w:val="single" w:color="auto" w:sz="4" w:space="0"/>
            </w:tcBorders>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p>
        </w:tc>
        <w:tc>
          <w:tcPr>
            <w:tcW w:w="1080"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008"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r>
      <w:tr>
        <w:tblPrEx>
          <w:tblCellMar>
            <w:top w:w="0" w:type="dxa"/>
            <w:left w:w="108" w:type="dxa"/>
            <w:bottom w:w="0" w:type="dxa"/>
            <w:right w:w="108" w:type="dxa"/>
          </w:tblCellMar>
        </w:tblPrEx>
        <w:trPr>
          <w:trHeight w:val="70" w:hRule="atLeast"/>
          <w:jc w:val="center"/>
        </w:trPr>
        <w:tc>
          <w:tcPr>
            <w:tcW w:w="538"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[4a]</w:t>
            </w: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298"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521" w:type="dxa"/>
            <w:vMerge w:val="restart"/>
            <w:tcBorders>
              <w:top w:val="nil"/>
              <w:left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6</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total</w:t>
            </w: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4Rx</w:t>
            </w:r>
          </w:p>
        </w:tc>
        <w:tc>
          <w:tcPr>
            <w:tcW w:w="710"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25dB</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full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Requires 6 antennas and LNA =&gt; is it compatible with smartphone? (for which frequency range), FWA only</w:t>
            </w:r>
          </w:p>
        </w:tc>
      </w:tr>
      <w:tr>
        <w:tblPrEx>
          <w:tblCellMar>
            <w:top w:w="0" w:type="dxa"/>
            <w:left w:w="108" w:type="dxa"/>
            <w:bottom w:w="0" w:type="dxa"/>
            <w:right w:w="108" w:type="dxa"/>
          </w:tblCellMar>
        </w:tblPrEx>
        <w:trPr>
          <w:trHeight w:val="70" w:hRule="atLeast"/>
          <w:jc w:val="center"/>
        </w:trPr>
        <w:tc>
          <w:tcPr>
            <w:tcW w:w="538" w:type="dxa"/>
            <w:vMerge w:val="continue"/>
            <w:tcBorders>
              <w:left w:val="single" w:color="auto" w:sz="4" w:space="0"/>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98"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521" w:type="dxa"/>
            <w:vMerge w:val="continue"/>
            <w:tcBorders>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2Rx</w:t>
            </w:r>
          </w:p>
        </w:tc>
        <w:tc>
          <w:tcPr>
            <w:tcW w:w="710" w:type="dxa"/>
            <w:vMerge w:val="continue"/>
            <w:tcBorders>
              <w:left w:val="single" w:color="auto" w:sz="4" w:space="0"/>
              <w:bottom w:val="single" w:color="auto" w:sz="4" w:space="0"/>
              <w:right w:val="single" w:color="auto" w:sz="4" w:space="0"/>
            </w:tcBorders>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p>
        </w:tc>
        <w:tc>
          <w:tcPr>
            <w:tcW w:w="1080"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008"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r>
      <w:tr>
        <w:tblPrEx>
          <w:tblCellMar>
            <w:top w:w="0" w:type="dxa"/>
            <w:left w:w="108" w:type="dxa"/>
            <w:bottom w:w="0" w:type="dxa"/>
            <w:right w:w="108" w:type="dxa"/>
          </w:tblCellMar>
        </w:tblPrEx>
        <w:trPr>
          <w:trHeight w:val="70" w:hRule="atLeast"/>
          <w:jc w:val="center"/>
        </w:trPr>
        <w:tc>
          <w:tcPr>
            <w:tcW w:w="538"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b/>
                <w:bCs/>
                <w:color w:val="000000"/>
                <w:sz w:val="16"/>
                <w:szCs w:val="16"/>
              </w:rPr>
            </w:pPr>
            <w:r>
              <w:rPr>
                <w:rFonts w:ascii="Times New Roman" w:hAnsi="Times New Roman" w:cs="Times New Roman"/>
                <w:b/>
                <w:bCs/>
                <w:color w:val="000000"/>
                <w:sz w:val="16"/>
                <w:szCs w:val="16"/>
              </w:rPr>
              <w:t>[4b]</w:t>
            </w: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298"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521" w:type="dxa"/>
            <w:vMerge w:val="restart"/>
            <w:tcBorders>
              <w:top w:val="nil"/>
              <w:left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8</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total</w:t>
            </w: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4Rx</w:t>
            </w:r>
          </w:p>
        </w:tc>
        <w:tc>
          <w:tcPr>
            <w:tcW w:w="710" w:type="dxa"/>
            <w:vMerge w:val="restart"/>
            <w:tcBorders>
              <w:top w:val="nil"/>
              <w:left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eastAsia="游明朝" w:cs="Times New Roman"/>
                <w:color w:val="000000"/>
                <w:sz w:val="16"/>
                <w:szCs w:val="16"/>
                <w:lang w:eastAsia="ja-JP"/>
              </w:rPr>
            </w:pPr>
            <w:r>
              <w:rPr>
                <w:rFonts w:ascii="Times New Roman" w:hAnsi="Times New Roman" w:eastAsia="游明朝" w:cs="Times New Roman"/>
                <w:color w:val="000000"/>
                <w:sz w:val="16"/>
                <w:szCs w:val="16"/>
                <w:lang w:eastAsia="ja-JP"/>
              </w:rPr>
              <w:t>NRCA</w:t>
            </w:r>
          </w:p>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eastAsia="游明朝" w:cs="Times New Roman"/>
                <w:color w:val="000000"/>
                <w:sz w:val="16"/>
                <w:szCs w:val="16"/>
                <w:lang w:eastAsia="ja-JP"/>
              </w:rPr>
              <w:t>ENDC</w:t>
            </w:r>
          </w:p>
        </w:tc>
        <w:tc>
          <w:tcPr>
            <w:tcW w:w="1080"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25dB</w:t>
            </w:r>
            <w:r>
              <w:rPr>
                <w:rFonts w:ascii="Times New Roman" w:hAnsi="Times New Roman" w:cs="Times New Roman"/>
                <w:color w:val="000000"/>
                <w:sz w:val="16"/>
                <w:szCs w:val="16"/>
              </w:rPr>
              <w:br w:type="textWrapping"/>
            </w:r>
            <w:r>
              <w:rPr>
                <w:rFonts w:ascii="Times New Roman" w:hAnsi="Times New Roman" w:cs="Times New Roman"/>
                <w:color w:val="000000"/>
                <w:sz w:val="16"/>
                <w:szCs w:val="16"/>
              </w:rPr>
              <w:t>full range</w:t>
            </w:r>
          </w:p>
        </w:tc>
        <w:tc>
          <w:tcPr>
            <w:tcW w:w="4008" w:type="dxa"/>
            <w:vMerge w:val="restart"/>
            <w:tcBorders>
              <w:top w:val="nil"/>
              <w:left w:val="single" w:color="auto" w:sz="4" w:space="0"/>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Requires 8 antennas and LNA =&gt; is it compatible with smartphone? (for which frequency range), FWA only</w:t>
            </w:r>
          </w:p>
        </w:tc>
      </w:tr>
      <w:tr>
        <w:tblPrEx>
          <w:tblCellMar>
            <w:top w:w="0" w:type="dxa"/>
            <w:left w:w="108" w:type="dxa"/>
            <w:bottom w:w="0" w:type="dxa"/>
            <w:right w:w="108" w:type="dxa"/>
          </w:tblCellMar>
        </w:tblPrEx>
        <w:trPr>
          <w:trHeight w:val="70" w:hRule="atLeast"/>
          <w:jc w:val="center"/>
        </w:trPr>
        <w:tc>
          <w:tcPr>
            <w:tcW w:w="538" w:type="dxa"/>
            <w:vMerge w:val="continue"/>
            <w:tcBorders>
              <w:left w:val="single" w:color="auto" w:sz="4" w:space="0"/>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66"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98"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521" w:type="dxa"/>
            <w:vMerge w:val="continue"/>
            <w:tcBorders>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p>
        </w:tc>
        <w:tc>
          <w:tcPr>
            <w:tcW w:w="659"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753"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460" w:type="dxa"/>
            <w:tcBorders>
              <w:top w:val="nil"/>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r>
              <w:rPr>
                <w:rFonts w:ascii="Times New Roman" w:hAnsi="Times New Roman" w:cs="Times New Roman"/>
                <w:color w:val="000000"/>
                <w:sz w:val="16"/>
                <w:szCs w:val="16"/>
              </w:rPr>
              <w:t>4Rx</w:t>
            </w:r>
          </w:p>
        </w:tc>
        <w:tc>
          <w:tcPr>
            <w:tcW w:w="710" w:type="dxa"/>
            <w:vMerge w:val="continue"/>
            <w:tcBorders>
              <w:left w:val="single" w:color="auto" w:sz="4" w:space="0"/>
              <w:bottom w:val="single" w:color="auto" w:sz="4" w:space="0"/>
              <w:right w:val="single" w:color="auto" w:sz="4" w:space="0"/>
            </w:tcBorders>
            <w:noWrap/>
          </w:tcPr>
          <w:p>
            <w:pPr>
              <w:keepNext w:val="0"/>
              <w:keepLines w:val="0"/>
              <w:pageBreakBefore w:val="0"/>
              <w:widowControl/>
              <w:kinsoku/>
              <w:wordWrap/>
              <w:overflowPunct/>
              <w:topLinePunct w:val="0"/>
              <w:autoSpaceDE/>
              <w:autoSpaceDN/>
              <w:bidi w:val="0"/>
              <w:adjustRightInd w:val="0"/>
              <w:snapToGrid w:val="0"/>
              <w:spacing w:beforeLines="0" w:afterLines="0" w:line="240" w:lineRule="auto"/>
              <w:jc w:val="center"/>
              <w:textAlignment w:val="auto"/>
              <w:rPr>
                <w:rFonts w:ascii="Times New Roman" w:hAnsi="Times New Roman" w:cs="Times New Roman"/>
                <w:color w:val="000000"/>
                <w:sz w:val="16"/>
                <w:szCs w:val="16"/>
              </w:rPr>
            </w:pPr>
          </w:p>
        </w:tc>
        <w:tc>
          <w:tcPr>
            <w:tcW w:w="1080"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c>
          <w:tcPr>
            <w:tcW w:w="4008" w:type="dxa"/>
            <w:vMerge w:val="continue"/>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val="0"/>
              <w:snapToGrid w:val="0"/>
              <w:spacing w:beforeLines="0" w:afterLines="0" w:line="240" w:lineRule="auto"/>
              <w:textAlignment w:val="auto"/>
              <w:rPr>
                <w:rFonts w:ascii="Times New Roman" w:hAnsi="Times New Roman" w:cs="Times New Roman"/>
                <w:color w:val="000000"/>
                <w:sz w:val="16"/>
                <w:szCs w:val="16"/>
              </w:rPr>
            </w:pPr>
          </w:p>
        </w:tc>
      </w:tr>
    </w:tbl>
    <w:p>
      <w:pPr>
        <w:spacing w:before="120" w:beforeLines="0" w:after="120" w:afterLines="0" w:line="240" w:lineRule="auto"/>
        <w:rPr>
          <w:rFonts w:eastAsia="游明朝"/>
          <w:lang w:eastAsia="ja-JP"/>
        </w:rPr>
      </w:pPr>
      <w:r>
        <w:rPr>
          <w:rFonts w:hint="eastAsia" w:eastAsia="游明朝"/>
          <w:lang w:eastAsia="ja-JP"/>
        </w:rPr>
        <w:t>&lt;</w:t>
      </w:r>
      <w:r>
        <w:rPr>
          <w:rFonts w:eastAsia="游明朝"/>
          <w:lang w:eastAsia="ja-JP"/>
        </w:rPr>
        <w:t>Issue 3-1-5: Whether there is a room to tighten the network synchronization requirement below 3us?&gt;</w:t>
      </w:r>
    </w:p>
    <w:p>
      <w:pPr>
        <w:spacing w:before="120" w:beforeLines="0" w:after="120" w:afterLines="0" w:line="240" w:lineRule="auto"/>
      </w:pPr>
      <w:r>
        <w:t>Majority view is that there is no room to tighten the sync requirement of network and Type 3a/3b UE can operate only within 3us.</w:t>
      </w:r>
    </w:p>
    <w:p>
      <w:pPr>
        <w:spacing w:before="120" w:beforeLines="0" w:after="120" w:afterLines="0" w:line="240" w:lineRule="auto"/>
        <w:outlineLvl w:val="1"/>
        <w:rPr>
          <w:b/>
        </w:rPr>
      </w:pPr>
      <w:r>
        <w:rPr>
          <w:b/>
        </w:rPr>
        <w:t xml:space="preserve">Way Forward: </w:t>
      </w:r>
    </w:p>
    <w:p>
      <w:pPr>
        <w:numPr>
          <w:ilvl w:val="0"/>
          <w:numId w:val="7"/>
        </w:numPr>
        <w:spacing w:before="120" w:beforeLines="0" w:after="120" w:afterLines="0" w:line="240" w:lineRule="auto"/>
        <w:rPr>
          <w:rFonts w:eastAsia="游明朝"/>
          <w:color w:val="auto"/>
          <w:highlight w:val="none"/>
          <w:lang w:eastAsia="ja-JP"/>
        </w:rPr>
      </w:pPr>
      <w:r>
        <w:rPr>
          <w:color w:val="auto"/>
          <w:highlight w:val="none"/>
        </w:rPr>
        <w:t>Continue further discussions on the network synchronization requirement in the next meeting.</w:t>
      </w:r>
    </w:p>
    <w:p>
      <w:pPr>
        <w:spacing w:before="120" w:beforeLines="0" w:after="120" w:afterLines="0" w:line="240" w:lineRule="auto"/>
        <w:rPr>
          <w:rFonts w:eastAsia="游明朝"/>
          <w:lang w:eastAsia="ja-JP"/>
        </w:rPr>
      </w:pPr>
      <w:r>
        <w:rPr>
          <w:rFonts w:hint="eastAsia" w:eastAsia="游明朝"/>
          <w:lang w:eastAsia="ja-JP"/>
        </w:rPr>
        <w:t>&lt;</w:t>
      </w:r>
      <w:r>
        <w:rPr>
          <w:rFonts w:eastAsia="游明朝"/>
          <w:lang w:eastAsia="ja-JP"/>
        </w:rPr>
        <w:t>Issue 3-2-1: RF requirements on Type 3a/3b UE&gt;</w:t>
      </w:r>
    </w:p>
    <w:p>
      <w:pPr>
        <w:spacing w:before="120" w:beforeLines="0" w:after="120" w:afterLines="0" w:line="240" w:lineRule="auto"/>
        <w:rPr>
          <w:rFonts w:eastAsia="游明朝"/>
          <w:lang w:eastAsia="ja-JP"/>
        </w:rPr>
      </w:pPr>
      <w:r>
        <w:rPr>
          <w:rFonts w:hint="eastAsia" w:eastAsia="游明朝"/>
          <w:lang w:eastAsia="ja-JP"/>
        </w:rPr>
        <w:t>S</w:t>
      </w:r>
      <w:r>
        <w:rPr>
          <w:rFonts w:eastAsia="游明朝"/>
          <w:lang w:eastAsia="ja-JP"/>
        </w:rPr>
        <w:t>ome companies support Option 1(Power Imbalance 25dB), and then other companies support Option 2(</w:t>
      </w:r>
      <w:r>
        <w:t>4RX REFSENS relaxation by [1 + [FFS]] dB for 25dB DL carrier imbalance</w:t>
      </w:r>
      <w:r>
        <w:rPr>
          <w:rFonts w:eastAsia="游明朝"/>
          <w:lang w:eastAsia="ja-JP"/>
        </w:rPr>
        <w:t>) and Option 3(</w:t>
      </w:r>
      <w:r>
        <w:t>MRTD 3us and Power Imbalance 15dB</w:t>
      </w:r>
      <w:r>
        <w:rPr>
          <w:rFonts w:eastAsia="游明朝"/>
          <w:lang w:eastAsia="ja-JP"/>
        </w:rPr>
        <w:t>).</w:t>
      </w:r>
    </w:p>
    <w:p>
      <w:pPr>
        <w:spacing w:before="120" w:beforeLines="0" w:after="120" w:afterLines="0" w:line="240" w:lineRule="auto"/>
        <w:outlineLvl w:val="1"/>
        <w:rPr>
          <w:b/>
        </w:rPr>
      </w:pPr>
      <w:r>
        <w:rPr>
          <w:b/>
        </w:rPr>
        <w:t xml:space="preserve">Way Forward: </w:t>
      </w:r>
    </w:p>
    <w:p>
      <w:pPr>
        <w:numPr>
          <w:ilvl w:val="0"/>
          <w:numId w:val="7"/>
        </w:numPr>
        <w:spacing w:before="120" w:beforeLines="0" w:after="120" w:afterLines="0" w:line="240" w:lineRule="auto"/>
        <w:rPr>
          <w:rFonts w:eastAsia="游明朝"/>
          <w:lang w:eastAsia="ja-JP"/>
        </w:rPr>
      </w:pPr>
      <w:r>
        <w:t>Continue further discussions on RF requirements on Type 3a/3b UE in the next meeting.</w:t>
      </w:r>
    </w:p>
    <w:p>
      <w:pPr>
        <w:spacing w:before="120" w:beforeLines="0" w:after="120" w:afterLines="0" w:line="240" w:lineRule="auto"/>
        <w:rPr>
          <w:rFonts w:eastAsia="游明朝"/>
          <w:lang w:eastAsia="ja-JP"/>
        </w:rPr>
      </w:pPr>
      <w:r>
        <w:rPr>
          <w:rFonts w:eastAsia="游明朝"/>
          <w:lang w:eastAsia="ja-JP"/>
        </w:rPr>
        <w:t>&lt;Issue 3-2-2: UE Signalling on Type 3a/3b UE&gt;</w:t>
      </w:r>
    </w:p>
    <w:p>
      <w:pPr>
        <w:spacing w:before="120" w:beforeLines="0" w:after="120" w:afterLines="0" w:line="240" w:lineRule="auto"/>
      </w:pPr>
      <w:r>
        <w:t>Moderator propose to skip the topic for this meeting.</w:t>
      </w:r>
    </w:p>
    <w:p>
      <w:pPr>
        <w:spacing w:before="120" w:beforeLines="0" w:after="120" w:afterLines="0" w:line="240" w:lineRule="auto"/>
        <w:outlineLvl w:val="1"/>
        <w:rPr>
          <w:b/>
        </w:rPr>
      </w:pPr>
      <w:r>
        <w:rPr>
          <w:b/>
        </w:rPr>
        <w:t xml:space="preserve">Way Forward: </w:t>
      </w:r>
    </w:p>
    <w:p>
      <w:pPr>
        <w:numPr>
          <w:ilvl w:val="0"/>
          <w:numId w:val="7"/>
        </w:numPr>
        <w:spacing w:before="120" w:beforeLines="0" w:after="120" w:afterLines="0" w:line="240" w:lineRule="auto"/>
        <w:rPr>
          <w:rFonts w:eastAsia="游明朝"/>
          <w:lang w:eastAsia="ja-JP"/>
        </w:rPr>
      </w:pPr>
      <w:r>
        <w:t>Discuss the topic on UE Signalling on UE Type related to this WI in future meetings.</w:t>
      </w:r>
    </w:p>
    <w:p>
      <w:pPr>
        <w:widowControl w:val="0"/>
        <w:spacing w:before="120" w:beforeLines="0" w:after="120" w:afterLines="0" w:line="240" w:lineRule="auto"/>
        <w:jc w:val="left"/>
        <w:rPr>
          <w:kern w:val="0"/>
          <w:sz w:val="20"/>
        </w:rPr>
      </w:pPr>
      <w:r>
        <w:rPr>
          <w:rFonts w:hint="eastAsia"/>
          <w:kern w:val="0"/>
          <w:sz w:val="20"/>
        </w:rPr>
        <w:t>In this contributions, we continue to discuss some open issues for type 3a UE and type 3b UE</w:t>
      </w:r>
      <w:bookmarkStart w:id="6" w:name="OLE_LINK33"/>
      <w:r>
        <w:rPr>
          <w:rFonts w:hint="eastAsia"/>
          <w:kern w:val="0"/>
          <w:sz w:val="20"/>
        </w:rPr>
        <w:t xml:space="preserve">. </w:t>
      </w:r>
      <w:bookmarkEnd w:id="6"/>
    </w:p>
    <w:bookmarkEnd w:id="5"/>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default" w:eastAsia="宋体"/>
          <w:lang w:val="en-US" w:eastAsia="zh-CN"/>
        </w:rPr>
      </w:pPr>
      <w:bookmarkStart w:id="7" w:name="OLE_LINK41"/>
      <w:bookmarkStart w:id="8" w:name="OLE_LINK6"/>
      <w:bookmarkStart w:id="9" w:name="OLE_LINK23"/>
      <w:bookmarkStart w:id="10" w:name="OLE_LINK66"/>
      <w:r>
        <w:rPr>
          <w:rFonts w:hint="eastAsia"/>
          <w:lang w:val="en-US" w:eastAsia="zh-CN"/>
        </w:rPr>
        <w:t xml:space="preserve">Figure 2-1(a) and figure 2-1(b) show the </w:t>
      </w:r>
      <w:r>
        <w:rPr>
          <w:rFonts w:eastAsia="游明朝"/>
          <w:lang w:eastAsia="ja-JP"/>
        </w:rPr>
        <w:t xml:space="preserve">architecture </w:t>
      </w:r>
      <w:r>
        <w:rPr>
          <w:rFonts w:hint="eastAsia"/>
          <w:lang w:val="en-US" w:eastAsia="zh-CN"/>
        </w:rPr>
        <w:t>of t</w:t>
      </w:r>
      <w:r>
        <w:rPr>
          <w:rFonts w:hint="eastAsia"/>
          <w:lang w:eastAsia="zh-CN"/>
        </w:rPr>
        <w:t>ype 3a UE and type 3b UE</w:t>
      </w:r>
    </w:p>
    <w:p>
      <w:pPr>
        <w:pStyle w:val="62"/>
        <w:keepLines w:val="0"/>
        <w:widowControl w:val="0"/>
        <w:spacing w:before="120" w:after="120"/>
        <w:ind w:left="0" w:firstLine="0"/>
      </w:pPr>
      <w:r>
        <w:object>
          <v:shape id="_x0000_i1025" o:spt="75" type="#_x0000_t75" style="height:189.4pt;width:213.1pt;" o:ole="t" filled="f" o:preferrelative="t" stroked="f" coordsize="21600,21600">
            <v:path/>
            <v:fill on="f" focussize="0,0"/>
            <v:stroke on="f"/>
            <v:imagedata r:id="rId13" o:title=""/>
            <o:lock v:ext="edit" aspectratio="t"/>
            <w10:wrap type="none"/>
            <w10:anchorlock/>
          </v:shape>
          <o:OLEObject Type="Embed" ProgID="Visio.Drawing.11" ShapeID="_x0000_i1025" DrawAspect="Content" ObjectID="_1468075725" r:id="rId12">
            <o:LockedField>false</o:LockedField>
          </o:OLEObject>
        </w:object>
      </w:r>
      <w:r>
        <w:object>
          <v:shape id="_x0000_i1026" o:spt="75" type="#_x0000_t75" style="height:191.4pt;width:194pt;" o:ole="t" filled="f" o:preferrelative="t" stroked="f" coordsize="21600,21600">
            <v:path/>
            <v:fill on="f" focussize="0,0"/>
            <v:stroke on="f"/>
            <v:imagedata r:id="rId15" o:title=""/>
            <o:lock v:ext="edit" aspectratio="t"/>
            <w10:wrap type="none"/>
            <w10:anchorlock/>
          </v:shape>
          <o:OLEObject Type="Embed" ProgID="Visio.Drawing.11" ShapeID="_x0000_i1026" DrawAspect="Content" ObjectID="_1468075726" r:id="rId14">
            <o:LockedField>false</o:LockedField>
          </o:OLEObject>
        </w:object>
      </w:r>
    </w:p>
    <w:p>
      <w:pPr>
        <w:pStyle w:val="62"/>
        <w:keepLines w:val="0"/>
        <w:widowControl w:val="0"/>
        <w:spacing w:before="120" w:after="120"/>
        <w:ind w:left="0" w:firstLine="800" w:firstLineChars="400"/>
        <w:rPr>
          <w:rFonts w:hint="eastAsia"/>
          <w:lang w:val="en-US" w:eastAsia="zh-CN"/>
        </w:rPr>
      </w:pPr>
      <w:r>
        <w:rPr>
          <w:rFonts w:hint="eastAsia"/>
          <w:lang w:val="en-US" w:eastAsia="zh-CN"/>
        </w:rPr>
        <w:t>Figure 2-1(a) architecture of type 3a                        Figure 2-1(b) architecture of type 3b</w:t>
      </w:r>
    </w:p>
    <w:p>
      <w:pPr>
        <w:spacing w:before="120" w:beforeLines="0" w:after="120" w:afterLines="0" w:line="240" w:lineRule="auto"/>
        <w:rPr>
          <w:rFonts w:hint="eastAsia"/>
          <w:lang w:val="en-US" w:eastAsia="zh-CN"/>
        </w:rPr>
      </w:pPr>
      <w:r>
        <w:rPr>
          <w:rFonts w:hint="eastAsia"/>
          <w:lang w:val="en-US" w:eastAsia="zh-CN"/>
        </w:rPr>
        <w:t xml:space="preserve">We can see from the figure above that the difference between type 3a and type 3b is the number of RF split after a common PA. </w:t>
      </w:r>
    </w:p>
    <w:p>
      <w:pPr>
        <w:spacing w:before="120" w:beforeLines="0" w:after="120" w:afterLines="0" w:line="240" w:lineRule="auto"/>
        <w:rPr>
          <w:rFonts w:hint="eastAsia"/>
          <w:lang w:val="en-US" w:eastAsia="zh-CN"/>
        </w:rPr>
      </w:pPr>
      <w:r>
        <w:rPr>
          <w:rFonts w:hint="eastAsia"/>
          <w:lang w:val="en-US" w:eastAsia="zh-CN"/>
        </w:rPr>
        <w:t xml:space="preserve">For non-collocated scenario, the timing difference between the two carriers is expected to be larger than that of collocated scenario and the power imbalance between the two carriers is assumed up to 25dB in previous meetings. If the MRTD can be limited within a certain time e.g., the duration of CP, the performance of the receiver can be guaranteed as the common LNA in figure 2-1(a) and and figure 2-1(b) can be used. If 30kHz SCS is taken into consideration, the duration of CP is about 2.3us which is smaller than the TAE defined in TS 38.133 thus the the gain mode switch may happen when the CC with larger power comes later than the other CC. This will degrade the performance of the useful received symbol on the CC with lower power. </w:t>
      </w:r>
    </w:p>
    <w:p>
      <w:pPr>
        <w:pStyle w:val="62"/>
        <w:keepLines w:val="0"/>
        <w:widowControl w:val="0"/>
        <w:spacing w:before="120" w:after="120"/>
        <w:ind w:left="0" w:firstLine="0"/>
        <w:rPr>
          <w:b/>
          <w:bCs/>
          <w:i/>
          <w:iCs/>
          <w:kern w:val="2"/>
          <w:lang w:val="en-US" w:eastAsia="zh-CN"/>
        </w:rPr>
      </w:pPr>
      <w:r>
        <w:rPr>
          <w:rFonts w:hint="eastAsia"/>
          <w:b/>
          <w:bCs/>
          <w:i/>
          <w:iCs/>
          <w:kern w:val="2"/>
          <w:lang w:val="en-US" w:eastAsia="zh-CN"/>
        </w:rPr>
        <w:t xml:space="preserve">Observation 1. </w:t>
      </w:r>
      <w:bookmarkEnd w:id="7"/>
      <w:r>
        <w:rPr>
          <w:rFonts w:hint="eastAsia"/>
          <w:b/>
          <w:bCs/>
          <w:i/>
          <w:iCs/>
          <w:kern w:val="2"/>
          <w:lang w:val="en-US" w:eastAsia="zh-CN"/>
        </w:rPr>
        <w:t>If 30kHz SCS is taken into consideration, the duration of CP is smaller than the TAE between cells</w:t>
      </w:r>
      <w:r>
        <w:rPr>
          <w:rFonts w:hint="eastAsia"/>
          <w:b/>
          <w:bCs/>
          <w:i/>
          <w:iCs/>
          <w:lang w:val="en-US" w:eastAsia="zh-CN"/>
        </w:rPr>
        <w:t xml:space="preserve">. </w:t>
      </w:r>
    </w:p>
    <w:bookmarkEnd w:id="8"/>
    <w:p>
      <w:pPr>
        <w:spacing w:before="120" w:beforeLines="0" w:after="120" w:afterLines="0" w:line="240" w:lineRule="auto"/>
        <w:rPr>
          <w:rFonts w:hint="default"/>
          <w:lang w:val="en-US" w:eastAsia="zh-CN"/>
        </w:rPr>
      </w:pPr>
      <w:r>
        <w:rPr>
          <w:rFonts w:hint="eastAsia"/>
          <w:lang w:val="en-US" w:eastAsia="zh-CN"/>
        </w:rPr>
        <w:t xml:space="preserve">As discussed in [2], it proposed that whether there is a room to short </w:t>
      </w:r>
      <w:r>
        <w:rPr>
          <w:rFonts w:hint="eastAsia"/>
          <w:b w:val="0"/>
          <w:bCs w:val="0"/>
          <w:i w:val="0"/>
          <w:iCs w:val="0"/>
          <w:lang w:val="en-US"/>
        </w:rPr>
        <w:t>network synchronization error</w:t>
      </w:r>
      <w:r>
        <w:rPr>
          <w:rFonts w:hint="eastAsia"/>
          <w:b w:val="0"/>
          <w:bCs w:val="0"/>
          <w:i w:val="0"/>
          <w:iCs w:val="0"/>
          <w:lang w:val="en-US" w:eastAsia="zh-CN"/>
        </w:rPr>
        <w:t>. In our understanding, t</w:t>
      </w:r>
      <w:r>
        <w:rPr>
          <w:rFonts w:hint="eastAsia"/>
          <w:lang w:val="en-US" w:eastAsia="zh-CN"/>
        </w:rPr>
        <w:t>he following formula is used to illustrate the relationship between different timing parameters .</w:t>
      </w:r>
    </w:p>
    <w:p>
      <w:pPr>
        <w:spacing w:before="120" w:beforeLines="0" w:after="120" w:afterLines="0" w:line="240" w:lineRule="auto"/>
        <w:jc w:val="center"/>
        <w:rPr>
          <w:rFonts w:hint="default" w:eastAsia="宋体"/>
          <w:lang w:val="en-US" w:eastAsia="zh-CN"/>
        </w:rPr>
      </w:pPr>
      <w:r>
        <w:rPr>
          <w:rFonts w:hint="eastAsia"/>
          <w:lang w:val="en-US" w:eastAsia="zh-CN"/>
        </w:rPr>
        <w:t xml:space="preserve">D_CP </w:t>
      </w:r>
      <w:r>
        <w:rPr>
          <w:rFonts w:hint="default" w:ascii="Times New Roman" w:hAnsi="Times New Roman" w:cs="Times New Roman"/>
          <w:lang w:val="en-US" w:eastAsia="zh-CN"/>
        </w:rPr>
        <w:t>≥</w:t>
      </w:r>
      <w:r>
        <w:rPr>
          <w:rFonts w:hint="eastAsia"/>
          <w:lang w:val="en-US" w:eastAsia="zh-CN"/>
        </w:rPr>
        <w:t xml:space="preserve"> D_Tp + T_sync</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              ( </w:t>
      </w:r>
      <w:r>
        <w:rPr>
          <w:rFonts w:hint="eastAsia"/>
          <w:szCs w:val="21"/>
        </w:rPr>
        <w:t xml:space="preserve">Equation </w:t>
      </w:r>
      <w:r>
        <w:rPr>
          <w:rFonts w:hint="eastAsia"/>
          <w:szCs w:val="21"/>
          <w:lang w:val="en-US" w:eastAsia="zh-CN"/>
        </w:rPr>
        <w:t>1)</w:t>
      </w:r>
    </w:p>
    <w:p>
      <w:pPr>
        <w:spacing w:before="120" w:beforeLines="0" w:after="120" w:afterLines="0" w:line="240" w:lineRule="auto"/>
        <w:rPr>
          <w:rFonts w:hint="default"/>
          <w:lang w:val="en-US" w:eastAsia="zh-CN"/>
        </w:rPr>
      </w:pPr>
      <w:r>
        <w:rPr>
          <w:rFonts w:hint="eastAsia"/>
          <w:lang w:val="en-US" w:eastAsia="zh-CN"/>
        </w:rPr>
        <w:t>Where D_CP is the duration of CP with certain numerology configuration, D_Tp is the propagation timing difference between CCs and T_sync is the Tx timing difference between CCs.</w:t>
      </w:r>
    </w:p>
    <w:p>
      <w:pPr>
        <w:spacing w:before="120" w:beforeLines="0" w:after="120" w:afterLines="0" w:line="240" w:lineRule="auto"/>
        <w:rPr>
          <w:rFonts w:hint="eastAsia"/>
          <w:lang w:val="en-US" w:eastAsia="zh-CN"/>
        </w:rPr>
      </w:pPr>
      <w:r>
        <w:rPr>
          <w:rFonts w:hint="eastAsia"/>
          <w:lang w:val="en-US" w:eastAsia="zh-CN"/>
        </w:rPr>
        <w:t xml:space="preserve">As described in observation1, the duration of CP is smaller than the cell synchronization requirement. In order to support non-collocated ENDC or non-collocated NR CA of 4 layers effectively, larger cell </w:t>
      </w:r>
      <w:bookmarkStart w:id="11" w:name="OLE_LINK2"/>
      <w:r>
        <w:rPr>
          <w:rFonts w:hint="eastAsia"/>
          <w:lang w:val="en-US" w:eastAsia="zh-CN"/>
        </w:rPr>
        <w:t>synchronization error</w:t>
      </w:r>
      <w:bookmarkEnd w:id="11"/>
      <w:r>
        <w:rPr>
          <w:rFonts w:hint="eastAsia"/>
          <w:lang w:val="en-US" w:eastAsia="zh-CN"/>
        </w:rPr>
        <w:t xml:space="preserve"> may be needed. </w:t>
      </w:r>
    </w:p>
    <w:p>
      <w:pPr>
        <w:spacing w:before="120" w:beforeLines="0" w:after="120" w:afterLines="0" w:line="240" w:lineRule="auto"/>
        <w:rPr>
          <w:rFonts w:hint="default"/>
          <w:lang w:val="en-US" w:eastAsia="zh-CN"/>
        </w:rPr>
      </w:pPr>
      <w:r>
        <w:rPr>
          <w:rFonts w:hint="eastAsia"/>
          <w:lang w:val="en-US" w:eastAsia="zh-CN"/>
        </w:rPr>
        <w:t xml:space="preserve">However, from specification perspective, </w:t>
      </w:r>
      <w:bookmarkStart w:id="12" w:name="OLE_LINK4"/>
      <w:r>
        <w:rPr>
          <w:rFonts w:hint="eastAsia"/>
          <w:lang w:val="en-US" w:eastAsia="zh-CN"/>
        </w:rPr>
        <w:t>3us synchronization error should be kept</w:t>
      </w:r>
      <w:bookmarkEnd w:id="12"/>
      <w:r>
        <w:rPr>
          <w:rFonts w:hint="eastAsia"/>
          <w:lang w:val="en-US" w:eastAsia="zh-CN"/>
        </w:rPr>
        <w:t xml:space="preserve"> not only it was used for &gt;10years since LTE, but also this values were largely used in other topics to derive the requirements, there is no need to tighten the NW requirements</w:t>
      </w:r>
      <w:bookmarkStart w:id="23" w:name="_GoBack"/>
      <w:bookmarkEnd w:id="23"/>
      <w:r>
        <w:rPr>
          <w:rFonts w:hint="eastAsia"/>
          <w:lang w:val="en-US" w:eastAsia="zh-CN"/>
        </w:rPr>
        <w:t>. In order to support type 3a/3b, the other aspects should be considered, such as 25dB power imbalance but with more REFSEN relax, or less power imbalance, etc, which are needed further discussion.</w:t>
      </w:r>
    </w:p>
    <w:p>
      <w:pPr>
        <w:pStyle w:val="62"/>
        <w:keepLines w:val="0"/>
        <w:widowControl w:val="0"/>
        <w:spacing w:before="120" w:after="120"/>
        <w:ind w:left="0" w:firstLine="0"/>
        <w:rPr>
          <w:rFonts w:hint="eastAsia"/>
          <w:b/>
          <w:bCs/>
          <w:i/>
          <w:iCs/>
          <w:lang w:val="en-US" w:eastAsia="zh-CN"/>
        </w:rPr>
      </w:pPr>
      <w:bookmarkStart w:id="13" w:name="OLE_LINK3"/>
      <w:r>
        <w:rPr>
          <w:rFonts w:hint="eastAsia"/>
          <w:b/>
          <w:bCs/>
          <w:i/>
          <w:iCs/>
          <w:kern w:val="2"/>
          <w:lang w:val="en-US" w:eastAsia="zh-CN"/>
        </w:rPr>
        <w:t>Proposal 1. 3us NW synchronization error should be kept.</w:t>
      </w:r>
    </w:p>
    <w:bookmarkEnd w:id="13"/>
    <w:p>
      <w:pPr>
        <w:spacing w:before="120" w:beforeLines="0" w:after="120" w:afterLines="0" w:line="240" w:lineRule="auto"/>
        <w:rPr>
          <w:rFonts w:hint="default"/>
          <w:lang w:val="en-US" w:eastAsia="zh-CN"/>
        </w:rPr>
      </w:pPr>
      <w:r>
        <w:rPr>
          <w:rFonts w:hint="eastAsia"/>
          <w:lang w:val="en-US" w:eastAsia="zh-CN"/>
        </w:rPr>
        <w:t xml:space="preserve">With regard to the UE signalling for </w:t>
      </w:r>
      <w:r>
        <w:rPr>
          <w:rFonts w:eastAsia="游明朝"/>
          <w:lang w:eastAsia="ja-JP"/>
        </w:rPr>
        <w:t>Type 3a/3b UE</w:t>
      </w:r>
      <w:r>
        <w:rPr>
          <w:rFonts w:hint="eastAsia"/>
          <w:lang w:val="en-US" w:eastAsia="zh-CN"/>
        </w:rPr>
        <w:t>, we can see that type 3a and type 3b have similar structures based on the above analysis. Therefore, when a UE can support type 3b, it is also reasonable to expect that the UE can support type 3a. The details of signalling for type 3 UE is up to RAN2.</w:t>
      </w:r>
    </w:p>
    <w:p>
      <w:pPr>
        <w:pStyle w:val="62"/>
        <w:keepLines w:val="0"/>
        <w:widowControl w:val="0"/>
        <w:spacing w:before="120" w:after="120"/>
        <w:ind w:left="0" w:firstLine="0"/>
        <w:rPr>
          <w:lang w:val="en-US" w:eastAsia="zh-CN"/>
        </w:rPr>
      </w:pPr>
      <w:bookmarkStart w:id="14" w:name="OLE_LINK9"/>
      <w:bookmarkStart w:id="15" w:name="OLE_LINK5"/>
      <w:bookmarkStart w:id="16" w:name="OLE_LINK8"/>
      <w:bookmarkStart w:id="17" w:name="OLE_LINK11"/>
      <w:r>
        <w:rPr>
          <w:rFonts w:hint="eastAsia"/>
          <w:b/>
          <w:bCs/>
          <w:i/>
          <w:iCs/>
          <w:kern w:val="2"/>
          <w:lang w:val="en-US" w:eastAsia="zh-CN"/>
        </w:rPr>
        <w:t xml:space="preserve">Proposal 2. </w:t>
      </w:r>
      <w:bookmarkEnd w:id="14"/>
      <w:bookmarkEnd w:id="15"/>
      <w:bookmarkStart w:id="18" w:name="OLE_LINK40"/>
      <w:bookmarkStart w:id="19" w:name="OLE_LINK39"/>
      <w:bookmarkStart w:id="20" w:name="OLE_LINK28"/>
      <w:r>
        <w:rPr>
          <w:rFonts w:hint="eastAsia"/>
          <w:b/>
          <w:bCs/>
          <w:i/>
          <w:iCs/>
          <w:kern w:val="2"/>
          <w:lang w:val="en-US" w:eastAsia="zh-CN"/>
        </w:rPr>
        <w:t>To introduce UE capability that indicates whether the UE support both type 3a and type 3b.</w:t>
      </w:r>
      <w:bookmarkEnd w:id="16"/>
      <w:bookmarkEnd w:id="18"/>
      <w:bookmarkEnd w:id="19"/>
    </w:p>
    <w:bookmarkEnd w:id="9"/>
    <w:bookmarkEnd w:id="10"/>
    <w:bookmarkEnd w:id="17"/>
    <w:bookmarkEnd w:id="20"/>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 xml:space="preserve">In this contribution, we give some discussions for inter-band ENDC and intra-band non-contiguous NR CA type 3 UE. </w:t>
      </w:r>
    </w:p>
    <w:p>
      <w:pPr>
        <w:widowControl w:val="0"/>
        <w:numPr>
          <w:ilvl w:val="255"/>
          <w:numId w:val="0"/>
        </w:numPr>
        <w:spacing w:before="120" w:beforeLines="0" w:after="120" w:afterLines="0" w:line="240" w:lineRule="auto"/>
        <w:jc w:val="left"/>
        <w:rPr>
          <w:bCs/>
          <w:kern w:val="0"/>
          <w:szCs w:val="21"/>
        </w:rPr>
      </w:pPr>
      <w:r>
        <w:rPr>
          <w:rFonts w:hint="eastAsia"/>
          <w:bCs/>
          <w:kern w:val="0"/>
          <w:szCs w:val="21"/>
        </w:rPr>
        <w:t>The conclusions are:</w:t>
      </w:r>
    </w:p>
    <w:p>
      <w:pPr>
        <w:pStyle w:val="62"/>
        <w:keepLines w:val="0"/>
        <w:widowControl w:val="0"/>
        <w:spacing w:before="120" w:after="120"/>
        <w:ind w:left="0" w:firstLine="0"/>
        <w:rPr>
          <w:b/>
          <w:bCs/>
          <w:i/>
          <w:iCs/>
          <w:kern w:val="2"/>
          <w:lang w:val="en-US" w:eastAsia="zh-CN"/>
        </w:rPr>
      </w:pPr>
      <w:r>
        <w:rPr>
          <w:rFonts w:hint="eastAsia"/>
          <w:b/>
          <w:bCs/>
          <w:i/>
          <w:iCs/>
          <w:kern w:val="2"/>
          <w:lang w:val="en-US" w:eastAsia="zh-CN"/>
        </w:rPr>
        <w:t>Observation 1. If 30kHz SCS is taken into consideration, the duration of CP is smaller than the TAE between cells</w:t>
      </w:r>
      <w:r>
        <w:rPr>
          <w:rFonts w:hint="eastAsia"/>
          <w:b/>
          <w:bCs/>
          <w:i/>
          <w:iCs/>
          <w:lang w:val="en-US" w:eastAsia="zh-CN"/>
        </w:rPr>
        <w:t xml:space="preserve">. </w:t>
      </w:r>
    </w:p>
    <w:p>
      <w:pPr>
        <w:pStyle w:val="62"/>
        <w:keepLines w:val="0"/>
        <w:widowControl w:val="0"/>
        <w:spacing w:before="120" w:after="120"/>
        <w:ind w:left="0" w:firstLine="0"/>
        <w:rPr>
          <w:rFonts w:hint="eastAsia"/>
          <w:b/>
          <w:bCs/>
          <w:i/>
          <w:iCs/>
          <w:lang w:val="en-US" w:eastAsia="zh-CN"/>
        </w:rPr>
      </w:pPr>
      <w:r>
        <w:rPr>
          <w:rFonts w:hint="eastAsia"/>
          <w:b/>
          <w:bCs/>
          <w:i/>
          <w:iCs/>
          <w:kern w:val="2"/>
          <w:lang w:val="en-US" w:eastAsia="zh-CN"/>
        </w:rPr>
        <w:t>Proposal 1. 3us NW synchronization error should be kept.</w:t>
      </w:r>
    </w:p>
    <w:p>
      <w:pPr>
        <w:pStyle w:val="62"/>
        <w:keepLines w:val="0"/>
        <w:widowControl w:val="0"/>
        <w:spacing w:before="120" w:after="120"/>
        <w:ind w:left="0" w:firstLine="0"/>
        <w:rPr>
          <w:lang w:val="en-US" w:eastAsia="zh-CN"/>
        </w:rPr>
      </w:pPr>
      <w:r>
        <w:rPr>
          <w:rFonts w:hint="eastAsia"/>
          <w:b/>
          <w:bCs/>
          <w:i/>
          <w:iCs/>
          <w:kern w:val="2"/>
          <w:lang w:val="en-US" w:eastAsia="zh-CN"/>
        </w:rPr>
        <w:t>Proposal 2. To introduce UE capability that indicates whether the UE support both type 3a and type 3b.</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eastAsia="宋体"/>
          <w:sz w:val="20"/>
          <w:lang w:val="en-US" w:eastAsia="zh-CN"/>
        </w:rPr>
      </w:pPr>
      <w:r>
        <w:rPr>
          <w:rFonts w:hint="eastAsia"/>
          <w:sz w:val="20"/>
        </w:rPr>
        <w:t xml:space="preserve">[1] </w:t>
      </w:r>
      <w:bookmarkStart w:id="21" w:name="OLE_LINK32"/>
      <w:r>
        <w:rPr>
          <w:rFonts w:hint="eastAsia"/>
          <w:sz w:val="20"/>
          <w:lang w:val="en-US" w:eastAsia="zh-CN"/>
        </w:rPr>
        <w:t xml:space="preserve"> </w:t>
      </w:r>
      <w:r>
        <w:rPr>
          <w:rFonts w:hint="eastAsia"/>
          <w:sz w:val="20"/>
        </w:rPr>
        <w:t>R4-2220537</w:t>
      </w:r>
      <w:r>
        <w:rPr>
          <w:rFonts w:hint="eastAsia"/>
          <w:sz w:val="20"/>
          <w:lang w:val="en-US" w:eastAsia="zh-CN"/>
        </w:rPr>
        <w:t xml:space="preserve">, </w:t>
      </w:r>
      <w:r>
        <w:rPr>
          <w:rFonts w:hint="eastAsia"/>
          <w:sz w:val="20"/>
        </w:rPr>
        <w:t>WF on the requirement for intra-band non-collocated CA/EN-DC</w:t>
      </w:r>
      <w:r>
        <w:rPr>
          <w:rFonts w:hint="eastAsia"/>
          <w:sz w:val="20"/>
          <w:lang w:val="en-US" w:eastAsia="zh-CN"/>
        </w:rPr>
        <w:t>, KDDI</w:t>
      </w:r>
    </w:p>
    <w:p>
      <w:pPr>
        <w:widowControl w:val="0"/>
        <w:tabs>
          <w:tab w:val="left" w:pos="90"/>
          <w:tab w:val="left" w:pos="1868"/>
          <w:tab w:val="right" w:pos="10648"/>
        </w:tabs>
        <w:spacing w:beforeLines="0" w:afterLines="0" w:line="260" w:lineRule="auto"/>
        <w:jc w:val="left"/>
        <w:rPr>
          <w:rFonts w:hint="default" w:eastAsia="宋体"/>
          <w:sz w:val="20"/>
          <w:lang w:val="en-US" w:eastAsia="zh-CN"/>
        </w:rPr>
      </w:pPr>
      <w:r>
        <w:rPr>
          <w:rFonts w:hint="eastAsia"/>
          <w:sz w:val="20"/>
        </w:rPr>
        <w:t xml:space="preserve">[2]  </w:t>
      </w:r>
      <w:bookmarkEnd w:id="21"/>
      <w:r>
        <w:rPr>
          <w:rFonts w:hint="eastAsia"/>
          <w:sz w:val="20"/>
        </w:rPr>
        <w:t>R4-</w:t>
      </w:r>
      <w:bookmarkStart w:id="22" w:name="OLE_LINK10"/>
      <w:r>
        <w:rPr>
          <w:rFonts w:hint="eastAsia"/>
          <w:sz w:val="20"/>
        </w:rPr>
        <w:t>2218193</w:t>
      </w:r>
      <w:bookmarkEnd w:id="22"/>
      <w:r>
        <w:rPr>
          <w:rFonts w:hint="eastAsia"/>
          <w:sz w:val="20"/>
          <w:lang w:val="en-US" w:eastAsia="zh-CN"/>
        </w:rPr>
        <w:t>, Further discussion on intra-band non-collocated CA/EN-DC, Apple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4F4"/>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2B22"/>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567E7F"/>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9377D"/>
    <w:rsid w:val="028F6D4C"/>
    <w:rsid w:val="02933CBB"/>
    <w:rsid w:val="02951DBD"/>
    <w:rsid w:val="029A69A7"/>
    <w:rsid w:val="029B04E7"/>
    <w:rsid w:val="02A10998"/>
    <w:rsid w:val="02AB0FBC"/>
    <w:rsid w:val="02AE6812"/>
    <w:rsid w:val="02CD7DF7"/>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D1966"/>
    <w:rsid w:val="03CF67FA"/>
    <w:rsid w:val="03D84C09"/>
    <w:rsid w:val="03E358F3"/>
    <w:rsid w:val="03E60DC5"/>
    <w:rsid w:val="03E84DE8"/>
    <w:rsid w:val="04030035"/>
    <w:rsid w:val="040E5F41"/>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B5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75FB7"/>
    <w:rsid w:val="058A1B21"/>
    <w:rsid w:val="059D265F"/>
    <w:rsid w:val="05B92EC1"/>
    <w:rsid w:val="05E078B3"/>
    <w:rsid w:val="05E974AF"/>
    <w:rsid w:val="05EE6827"/>
    <w:rsid w:val="0601277E"/>
    <w:rsid w:val="06031823"/>
    <w:rsid w:val="060C5AED"/>
    <w:rsid w:val="060D08DC"/>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03BF1"/>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6D7167"/>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23217"/>
    <w:rsid w:val="0EA40C1C"/>
    <w:rsid w:val="0EB72E4B"/>
    <w:rsid w:val="0EEC6F1D"/>
    <w:rsid w:val="0F103291"/>
    <w:rsid w:val="0F1D498B"/>
    <w:rsid w:val="0F1E5A47"/>
    <w:rsid w:val="0F337178"/>
    <w:rsid w:val="0F3B15FC"/>
    <w:rsid w:val="0F41022A"/>
    <w:rsid w:val="0F517CB5"/>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DD2E81"/>
    <w:rsid w:val="10E746EA"/>
    <w:rsid w:val="10E83FE0"/>
    <w:rsid w:val="10EC3168"/>
    <w:rsid w:val="10F52718"/>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DC3455"/>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4D98"/>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5D083E"/>
    <w:rsid w:val="19655A52"/>
    <w:rsid w:val="19663168"/>
    <w:rsid w:val="197724BD"/>
    <w:rsid w:val="19786B0A"/>
    <w:rsid w:val="198A41A1"/>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3218E8"/>
    <w:rsid w:val="1F3E662A"/>
    <w:rsid w:val="1F4B46FD"/>
    <w:rsid w:val="1F4F2219"/>
    <w:rsid w:val="1F5353B6"/>
    <w:rsid w:val="1F614D01"/>
    <w:rsid w:val="1F721405"/>
    <w:rsid w:val="1F825709"/>
    <w:rsid w:val="1F935819"/>
    <w:rsid w:val="1FA6556D"/>
    <w:rsid w:val="1FAF2571"/>
    <w:rsid w:val="1FC55EDA"/>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7B2112"/>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C86F58"/>
    <w:rsid w:val="23D17D7B"/>
    <w:rsid w:val="23D36D91"/>
    <w:rsid w:val="23F70BA5"/>
    <w:rsid w:val="23F93D0D"/>
    <w:rsid w:val="2405417E"/>
    <w:rsid w:val="241B5C62"/>
    <w:rsid w:val="24352A14"/>
    <w:rsid w:val="245739F6"/>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12815"/>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D2C46"/>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1B34C1"/>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0A55FF"/>
    <w:rsid w:val="2F1251F2"/>
    <w:rsid w:val="2F2D445E"/>
    <w:rsid w:val="2F4F6FBB"/>
    <w:rsid w:val="2F664E2B"/>
    <w:rsid w:val="2F6C7BE3"/>
    <w:rsid w:val="2F783485"/>
    <w:rsid w:val="2F7F5C0B"/>
    <w:rsid w:val="2FA0088D"/>
    <w:rsid w:val="2FA6492D"/>
    <w:rsid w:val="2FC03679"/>
    <w:rsid w:val="2FC86676"/>
    <w:rsid w:val="2FD17A1B"/>
    <w:rsid w:val="2FD71CA4"/>
    <w:rsid w:val="2FDC4A8D"/>
    <w:rsid w:val="2FF93066"/>
    <w:rsid w:val="300100D3"/>
    <w:rsid w:val="301A71CE"/>
    <w:rsid w:val="301E049B"/>
    <w:rsid w:val="302A4BE6"/>
    <w:rsid w:val="304478EC"/>
    <w:rsid w:val="30515C8E"/>
    <w:rsid w:val="3069301C"/>
    <w:rsid w:val="307B0C38"/>
    <w:rsid w:val="309213F5"/>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65FE2"/>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E5848"/>
    <w:rsid w:val="38A341A7"/>
    <w:rsid w:val="38BA6810"/>
    <w:rsid w:val="38BD31EE"/>
    <w:rsid w:val="38CB3BDF"/>
    <w:rsid w:val="38D33D29"/>
    <w:rsid w:val="38D41CCF"/>
    <w:rsid w:val="38D62E18"/>
    <w:rsid w:val="38E40A5B"/>
    <w:rsid w:val="38E842BA"/>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62706F"/>
    <w:rsid w:val="3D6E2272"/>
    <w:rsid w:val="3D7C727A"/>
    <w:rsid w:val="3D81786B"/>
    <w:rsid w:val="3D830417"/>
    <w:rsid w:val="3D877AC5"/>
    <w:rsid w:val="3D882D35"/>
    <w:rsid w:val="3D8D2848"/>
    <w:rsid w:val="3D94235D"/>
    <w:rsid w:val="3D9461E1"/>
    <w:rsid w:val="3DB34E86"/>
    <w:rsid w:val="3DB90549"/>
    <w:rsid w:val="3DC46444"/>
    <w:rsid w:val="3DE93692"/>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95C89"/>
    <w:rsid w:val="3F2C04C4"/>
    <w:rsid w:val="3F3E7C9F"/>
    <w:rsid w:val="3F416B99"/>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2822"/>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5342A"/>
    <w:rsid w:val="42DE48A3"/>
    <w:rsid w:val="42E16058"/>
    <w:rsid w:val="42F17BF5"/>
    <w:rsid w:val="42F30D8B"/>
    <w:rsid w:val="42F87EC9"/>
    <w:rsid w:val="42FA45BF"/>
    <w:rsid w:val="430E7E66"/>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6E97C61"/>
    <w:rsid w:val="47060261"/>
    <w:rsid w:val="47155D89"/>
    <w:rsid w:val="473069AF"/>
    <w:rsid w:val="474A0EAF"/>
    <w:rsid w:val="474E50BE"/>
    <w:rsid w:val="47696F9C"/>
    <w:rsid w:val="47714F1F"/>
    <w:rsid w:val="47725A17"/>
    <w:rsid w:val="477D3243"/>
    <w:rsid w:val="478821A1"/>
    <w:rsid w:val="479128A9"/>
    <w:rsid w:val="47975EDC"/>
    <w:rsid w:val="47983B19"/>
    <w:rsid w:val="479C1534"/>
    <w:rsid w:val="47A3609D"/>
    <w:rsid w:val="47C01792"/>
    <w:rsid w:val="47C57A48"/>
    <w:rsid w:val="47D511BD"/>
    <w:rsid w:val="4808150F"/>
    <w:rsid w:val="480F51A8"/>
    <w:rsid w:val="481E44E4"/>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45A7D"/>
    <w:rsid w:val="4A5A756D"/>
    <w:rsid w:val="4A722B4C"/>
    <w:rsid w:val="4A785772"/>
    <w:rsid w:val="4A842E43"/>
    <w:rsid w:val="4A89105B"/>
    <w:rsid w:val="4AA03A4E"/>
    <w:rsid w:val="4AA341CC"/>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745E2"/>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BF21BD"/>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B7315"/>
    <w:rsid w:val="503E570B"/>
    <w:rsid w:val="503F32CF"/>
    <w:rsid w:val="5041152A"/>
    <w:rsid w:val="504C77D2"/>
    <w:rsid w:val="50560460"/>
    <w:rsid w:val="50601A5C"/>
    <w:rsid w:val="507667E2"/>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328D5"/>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5B152F"/>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C6D49"/>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1C48"/>
    <w:rsid w:val="5C615117"/>
    <w:rsid w:val="5C6B1600"/>
    <w:rsid w:val="5C7D70D1"/>
    <w:rsid w:val="5C824577"/>
    <w:rsid w:val="5C83213E"/>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D51DB"/>
    <w:rsid w:val="5E0173CB"/>
    <w:rsid w:val="5E0B0848"/>
    <w:rsid w:val="5E1D4A67"/>
    <w:rsid w:val="5E1E3787"/>
    <w:rsid w:val="5E1F2E4C"/>
    <w:rsid w:val="5E237029"/>
    <w:rsid w:val="5E3A3BD1"/>
    <w:rsid w:val="5E4F1C2F"/>
    <w:rsid w:val="5E5203B8"/>
    <w:rsid w:val="5E55768A"/>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AA5E0A"/>
    <w:rsid w:val="5FB7185B"/>
    <w:rsid w:val="5FB94C48"/>
    <w:rsid w:val="5FC9714B"/>
    <w:rsid w:val="5FD74F41"/>
    <w:rsid w:val="5FDE327E"/>
    <w:rsid w:val="5FF37587"/>
    <w:rsid w:val="5FFC7C0A"/>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173655"/>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34C43"/>
    <w:rsid w:val="62943D08"/>
    <w:rsid w:val="62A05735"/>
    <w:rsid w:val="62A411F8"/>
    <w:rsid w:val="62A81A26"/>
    <w:rsid w:val="62B1166E"/>
    <w:rsid w:val="62BA7A46"/>
    <w:rsid w:val="62C376AC"/>
    <w:rsid w:val="62CE13CB"/>
    <w:rsid w:val="62D2197B"/>
    <w:rsid w:val="62DB028F"/>
    <w:rsid w:val="62F458F9"/>
    <w:rsid w:val="62F6011A"/>
    <w:rsid w:val="62FD2BA9"/>
    <w:rsid w:val="63144400"/>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430A3"/>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97532"/>
    <w:rsid w:val="6B730045"/>
    <w:rsid w:val="6B736A2E"/>
    <w:rsid w:val="6B874340"/>
    <w:rsid w:val="6B884219"/>
    <w:rsid w:val="6B90781F"/>
    <w:rsid w:val="6BA6663C"/>
    <w:rsid w:val="6BA9194F"/>
    <w:rsid w:val="6BE727F5"/>
    <w:rsid w:val="6BEC7AFC"/>
    <w:rsid w:val="6C0858B3"/>
    <w:rsid w:val="6C240DF3"/>
    <w:rsid w:val="6C3E2FAF"/>
    <w:rsid w:val="6C45610F"/>
    <w:rsid w:val="6C59472D"/>
    <w:rsid w:val="6C5A4564"/>
    <w:rsid w:val="6C603744"/>
    <w:rsid w:val="6C637CCF"/>
    <w:rsid w:val="6C7802EB"/>
    <w:rsid w:val="6C89456C"/>
    <w:rsid w:val="6C9E59AD"/>
    <w:rsid w:val="6CA20D5B"/>
    <w:rsid w:val="6CB71894"/>
    <w:rsid w:val="6CD63FB3"/>
    <w:rsid w:val="6CFD5D1F"/>
    <w:rsid w:val="6CFE035F"/>
    <w:rsid w:val="6D0146A9"/>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C66C7"/>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540C"/>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D426E"/>
    <w:rsid w:val="73043CFC"/>
    <w:rsid w:val="73096378"/>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AD7C7D"/>
    <w:rsid w:val="74B44784"/>
    <w:rsid w:val="74B808BF"/>
    <w:rsid w:val="74C03187"/>
    <w:rsid w:val="74E4756E"/>
    <w:rsid w:val="74EA0E1A"/>
    <w:rsid w:val="74ED19FF"/>
    <w:rsid w:val="74F4641C"/>
    <w:rsid w:val="75084E8F"/>
    <w:rsid w:val="7509261E"/>
    <w:rsid w:val="75202656"/>
    <w:rsid w:val="752231CE"/>
    <w:rsid w:val="75752B04"/>
    <w:rsid w:val="758910BB"/>
    <w:rsid w:val="75955DA9"/>
    <w:rsid w:val="75977910"/>
    <w:rsid w:val="75985DFA"/>
    <w:rsid w:val="759875B0"/>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7303C2"/>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521A"/>
    <w:rsid w:val="7C4A2BD1"/>
    <w:rsid w:val="7C576C70"/>
    <w:rsid w:val="7C6E4349"/>
    <w:rsid w:val="7C735666"/>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7</TotalTime>
  <ScaleCrop>false</ScaleCrop>
  <LinksUpToDate>false</LinksUpToDate>
  <CharactersWithSpaces>7127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2023-02-17T13:52:34Z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